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5F" w:rsidRPr="00BA709E" w:rsidRDefault="008A285F" w:rsidP="008A285F">
      <w:pPr>
        <w:pageBreakBefore/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 w:rsidRPr="00BA709E">
        <w:rPr>
          <w:b/>
          <w:sz w:val="36"/>
          <w:szCs w:val="36"/>
          <w:lang w:val="en-US"/>
        </w:rPr>
        <w:t xml:space="preserve">I. General Information. </w:t>
      </w:r>
      <w:proofErr w:type="gramStart"/>
      <w:r w:rsidRPr="00BA709E">
        <w:rPr>
          <w:b/>
          <w:sz w:val="36"/>
          <w:szCs w:val="36"/>
          <w:lang w:val="en-US"/>
        </w:rPr>
        <w:t>Rules for Application.</w:t>
      </w:r>
      <w:proofErr w:type="gramEnd"/>
    </w:p>
    <w:p w:rsidR="008A285F" w:rsidRPr="00AE2C6B" w:rsidRDefault="008A285F" w:rsidP="008A285F">
      <w:pPr>
        <w:jc w:val="center"/>
        <w:rPr>
          <w:b/>
          <w:sz w:val="36"/>
          <w:szCs w:val="36"/>
          <w:lang w:val="en-US"/>
        </w:rPr>
      </w:pPr>
      <w:r w:rsidRPr="002913EC">
        <w:rPr>
          <w:b/>
          <w:sz w:val="36"/>
          <w:szCs w:val="36"/>
          <w:lang w:val="en-US"/>
        </w:rPr>
        <w:t xml:space="preserve">IV International </w:t>
      </w:r>
      <w:proofErr w:type="spellStart"/>
      <w:r w:rsidRPr="002913EC">
        <w:rPr>
          <w:b/>
          <w:sz w:val="36"/>
          <w:szCs w:val="36"/>
          <w:lang w:val="en-US"/>
        </w:rPr>
        <w:t>Stanislav</w:t>
      </w:r>
      <w:proofErr w:type="spellEnd"/>
      <w:r w:rsidRPr="002913EC">
        <w:rPr>
          <w:b/>
          <w:sz w:val="36"/>
          <w:szCs w:val="36"/>
          <w:lang w:val="en-US"/>
        </w:rPr>
        <w:t xml:space="preserve"> </w:t>
      </w:r>
      <w:proofErr w:type="spellStart"/>
      <w:r w:rsidRPr="002913EC">
        <w:rPr>
          <w:b/>
          <w:sz w:val="36"/>
          <w:szCs w:val="36"/>
          <w:lang w:val="en-US"/>
        </w:rPr>
        <w:t>Neuhaus</w:t>
      </w:r>
      <w:proofErr w:type="spellEnd"/>
      <w:r w:rsidRPr="002913EC">
        <w:rPr>
          <w:b/>
          <w:sz w:val="36"/>
          <w:szCs w:val="36"/>
          <w:lang w:val="en-US"/>
        </w:rPr>
        <w:t xml:space="preserve"> Piano Competition will</w:t>
      </w:r>
      <w:r w:rsidRPr="00BA709E">
        <w:rPr>
          <w:b/>
          <w:sz w:val="36"/>
          <w:szCs w:val="36"/>
          <w:lang w:val="en-US"/>
        </w:rPr>
        <w:t xml:space="preserve"> be held in Chelyabinsk from </w:t>
      </w:r>
      <w:r w:rsidR="006D4AE5" w:rsidRPr="002913EC">
        <w:rPr>
          <w:b/>
          <w:sz w:val="36"/>
          <w:szCs w:val="36"/>
          <w:lang w:val="en-US"/>
        </w:rPr>
        <w:t>1</w:t>
      </w:r>
      <w:r w:rsidR="006D4AE5" w:rsidRPr="00615091">
        <w:rPr>
          <w:b/>
          <w:sz w:val="36"/>
          <w:szCs w:val="36"/>
          <w:lang w:val="en-US"/>
        </w:rPr>
        <w:t>4</w:t>
      </w:r>
      <w:r w:rsidR="006D4AE5" w:rsidRPr="00BA709E">
        <w:rPr>
          <w:b/>
          <w:sz w:val="36"/>
          <w:szCs w:val="36"/>
          <w:lang w:val="en-US"/>
        </w:rPr>
        <w:t xml:space="preserve"> to </w:t>
      </w:r>
      <w:r w:rsidR="006D4AE5" w:rsidRPr="00615091">
        <w:rPr>
          <w:b/>
          <w:sz w:val="36"/>
          <w:szCs w:val="36"/>
          <w:lang w:val="en-US"/>
        </w:rPr>
        <w:t>20</w:t>
      </w:r>
      <w:r w:rsidR="006D4AE5" w:rsidRPr="00BA709E">
        <w:rPr>
          <w:b/>
          <w:sz w:val="36"/>
          <w:szCs w:val="36"/>
          <w:lang w:val="en-US"/>
        </w:rPr>
        <w:t xml:space="preserve"> </w:t>
      </w:r>
      <w:r w:rsidR="006D4AE5">
        <w:rPr>
          <w:b/>
          <w:sz w:val="36"/>
          <w:szCs w:val="36"/>
          <w:lang w:val="en-US"/>
        </w:rPr>
        <w:t>April</w:t>
      </w:r>
      <w:r w:rsidR="006D4AE5" w:rsidRPr="00BA709E">
        <w:rPr>
          <w:b/>
          <w:sz w:val="36"/>
          <w:szCs w:val="36"/>
          <w:lang w:val="en-US"/>
        </w:rPr>
        <w:t xml:space="preserve"> 20</w:t>
      </w:r>
      <w:r w:rsidR="006D4AE5">
        <w:rPr>
          <w:b/>
          <w:sz w:val="36"/>
          <w:szCs w:val="36"/>
          <w:lang w:val="en-US"/>
        </w:rPr>
        <w:t>21</w:t>
      </w:r>
    </w:p>
    <w:p w:rsidR="008A285F" w:rsidRPr="00255EBF" w:rsidRDefault="008A285F" w:rsidP="008A285F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255EBF">
        <w:rPr>
          <w:bCs/>
          <w:sz w:val="28"/>
          <w:szCs w:val="28"/>
          <w:lang w:val="en-US"/>
        </w:rPr>
        <w:t>1.1. The Competition is held in two nominations</w:t>
      </w:r>
      <w:r w:rsidRPr="00255EBF">
        <w:rPr>
          <w:sz w:val="28"/>
          <w:szCs w:val="28"/>
          <w:lang w:val="en-US"/>
        </w:rPr>
        <w:t>:</w:t>
      </w:r>
    </w:p>
    <w:p w:rsidR="008A285F" w:rsidRPr="00255EBF" w:rsidRDefault="008A285F" w:rsidP="008A285F">
      <w:pPr>
        <w:autoSpaceDE w:val="0"/>
        <w:autoSpaceDN w:val="0"/>
        <w:adjustRightInd w:val="0"/>
        <w:ind w:left="540" w:hanging="540"/>
        <w:rPr>
          <w:b/>
          <w:sz w:val="28"/>
          <w:szCs w:val="28"/>
          <w:lang w:val="en-US"/>
        </w:rPr>
      </w:pPr>
      <w:r w:rsidRPr="00255EBF">
        <w:rPr>
          <w:sz w:val="28"/>
          <w:szCs w:val="28"/>
          <w:lang w:val="en-US"/>
        </w:rPr>
        <w:tab/>
      </w:r>
      <w:r w:rsidRPr="00255EBF">
        <w:rPr>
          <w:b/>
          <w:sz w:val="28"/>
          <w:szCs w:val="28"/>
          <w:lang w:val="en-US"/>
        </w:rPr>
        <w:t>“Piano solo”</w:t>
      </w:r>
    </w:p>
    <w:p w:rsidR="008A285F" w:rsidRPr="008A285F" w:rsidRDefault="008A285F" w:rsidP="008A285F">
      <w:pPr>
        <w:autoSpaceDE w:val="0"/>
        <w:autoSpaceDN w:val="0"/>
        <w:adjustRightInd w:val="0"/>
        <w:ind w:left="540" w:hanging="540"/>
        <w:rPr>
          <w:b/>
          <w:sz w:val="28"/>
          <w:szCs w:val="28"/>
          <w:lang w:val="en-US"/>
        </w:rPr>
      </w:pPr>
      <w:r w:rsidRPr="00255EBF">
        <w:rPr>
          <w:b/>
          <w:sz w:val="28"/>
          <w:szCs w:val="28"/>
          <w:lang w:val="en-US"/>
        </w:rPr>
        <w:tab/>
      </w:r>
      <w:r w:rsidRPr="008A285F">
        <w:rPr>
          <w:b/>
          <w:sz w:val="28"/>
          <w:szCs w:val="28"/>
          <w:lang w:val="en-US"/>
        </w:rPr>
        <w:t>“</w:t>
      </w:r>
      <w:r w:rsidRPr="00255EBF">
        <w:rPr>
          <w:b/>
          <w:sz w:val="28"/>
          <w:szCs w:val="28"/>
          <w:lang w:val="en-US"/>
        </w:rPr>
        <w:t>Piano</w:t>
      </w:r>
      <w:r w:rsidRPr="008A285F">
        <w:rPr>
          <w:b/>
          <w:sz w:val="28"/>
          <w:szCs w:val="28"/>
          <w:lang w:val="en-US"/>
        </w:rPr>
        <w:t xml:space="preserve"> </w:t>
      </w:r>
      <w:r w:rsidRPr="00255EBF">
        <w:rPr>
          <w:b/>
          <w:sz w:val="28"/>
          <w:szCs w:val="28"/>
          <w:lang w:val="en-US"/>
        </w:rPr>
        <w:t>duo</w:t>
      </w:r>
      <w:r w:rsidRPr="008A285F">
        <w:rPr>
          <w:b/>
          <w:sz w:val="28"/>
          <w:szCs w:val="28"/>
          <w:lang w:val="en-US"/>
        </w:rPr>
        <w:t>”</w:t>
      </w:r>
    </w:p>
    <w:p w:rsidR="008A285F" w:rsidRPr="00236BCF" w:rsidRDefault="008A285F" w:rsidP="008A285F">
      <w:pPr>
        <w:autoSpaceDE w:val="0"/>
        <w:autoSpaceDN w:val="0"/>
        <w:adjustRightInd w:val="0"/>
        <w:ind w:left="540" w:hanging="540"/>
        <w:rPr>
          <w:sz w:val="28"/>
          <w:szCs w:val="28"/>
          <w:lang w:val="en-US"/>
        </w:rPr>
      </w:pPr>
      <w:r w:rsidRPr="00255EBF">
        <w:rPr>
          <w:sz w:val="28"/>
          <w:szCs w:val="28"/>
          <w:lang w:val="en-US"/>
        </w:rPr>
        <w:t xml:space="preserve">1.2. The </w:t>
      </w:r>
      <w:r w:rsidRPr="00255EBF">
        <w:rPr>
          <w:b/>
          <w:sz w:val="28"/>
          <w:szCs w:val="28"/>
          <w:lang w:val="en-US"/>
        </w:rPr>
        <w:t xml:space="preserve">“Piano solo” </w:t>
      </w:r>
      <w:r w:rsidRPr="00255EBF">
        <w:rPr>
          <w:sz w:val="28"/>
          <w:szCs w:val="28"/>
          <w:lang w:val="en-US"/>
        </w:rPr>
        <w:t>nomination of the competition is open to pianists of two age categories:</w:t>
      </w:r>
    </w:p>
    <w:p w:rsidR="006D4AE5" w:rsidRPr="003E7A7E" w:rsidRDefault="006D4AE5" w:rsidP="006D4AE5">
      <w:pPr>
        <w:rPr>
          <w:sz w:val="28"/>
          <w:szCs w:val="28"/>
          <w:lang w:val="en-US"/>
        </w:rPr>
      </w:pPr>
      <w:r w:rsidRPr="003E7A7E">
        <w:rPr>
          <w:sz w:val="28"/>
          <w:szCs w:val="28"/>
          <w:u w:val="single"/>
          <w:lang w:val="en-US"/>
        </w:rPr>
        <w:t>Category A:</w:t>
      </w:r>
      <w:r w:rsidRPr="003E7A7E">
        <w:rPr>
          <w:sz w:val="28"/>
          <w:szCs w:val="28"/>
          <w:lang w:val="en-US"/>
        </w:rPr>
        <w:t xml:space="preserve"> pianists up to 18 years of age (at the moment of holding the Competition, i.e. born after </w:t>
      </w:r>
      <w:r>
        <w:rPr>
          <w:sz w:val="28"/>
          <w:szCs w:val="28"/>
          <w:lang w:val="en-US"/>
        </w:rPr>
        <w:t>April</w:t>
      </w:r>
      <w:r w:rsidRPr="003E7A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14</w:t>
      </w:r>
      <w:r w:rsidRPr="003E7A7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2002</w:t>
      </w:r>
      <w:r w:rsidRPr="003E7A7E">
        <w:rPr>
          <w:sz w:val="28"/>
          <w:szCs w:val="28"/>
          <w:lang w:val="en-US"/>
        </w:rPr>
        <w:t>)</w:t>
      </w:r>
    </w:p>
    <w:p w:rsidR="006D4AE5" w:rsidRDefault="006D4AE5" w:rsidP="006D4AE5">
      <w:pPr>
        <w:rPr>
          <w:sz w:val="28"/>
          <w:szCs w:val="28"/>
          <w:lang w:val="en-US"/>
        </w:rPr>
      </w:pPr>
      <w:r w:rsidRPr="003E7A7E">
        <w:rPr>
          <w:sz w:val="28"/>
          <w:szCs w:val="28"/>
          <w:u w:val="single"/>
          <w:lang w:val="en-US"/>
        </w:rPr>
        <w:t>Category B:</w:t>
      </w:r>
      <w:r w:rsidRPr="003E7A7E">
        <w:rPr>
          <w:sz w:val="28"/>
          <w:szCs w:val="28"/>
          <w:lang w:val="en-US"/>
        </w:rPr>
        <w:t xml:space="preserve"> pianists not older than 36 years of age (at the moment of holding the Competit</w:t>
      </w:r>
      <w:r>
        <w:rPr>
          <w:sz w:val="28"/>
          <w:szCs w:val="28"/>
          <w:lang w:val="en-US"/>
        </w:rPr>
        <w:t>ion, i.e. born after April</w:t>
      </w:r>
      <w:r w:rsidRPr="003E7A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14</w:t>
      </w:r>
      <w:r w:rsidRPr="003E7A7E">
        <w:rPr>
          <w:sz w:val="28"/>
          <w:szCs w:val="28"/>
          <w:lang w:val="en-US"/>
        </w:rPr>
        <w:t>, 19</w:t>
      </w:r>
      <w:r>
        <w:rPr>
          <w:sz w:val="28"/>
          <w:szCs w:val="28"/>
          <w:lang w:val="en-US"/>
        </w:rPr>
        <w:t>84.</w:t>
      </w:r>
      <w:r w:rsidRPr="003E7A7E">
        <w:rPr>
          <w:sz w:val="28"/>
          <w:szCs w:val="28"/>
          <w:lang w:val="en-US"/>
        </w:rPr>
        <w:t>)</w:t>
      </w:r>
    </w:p>
    <w:p w:rsidR="008A285F" w:rsidRPr="00236BCF" w:rsidRDefault="006D4AE5" w:rsidP="006D4AE5">
      <w:pPr>
        <w:autoSpaceDE w:val="0"/>
        <w:autoSpaceDN w:val="0"/>
        <w:adjustRightInd w:val="0"/>
        <w:ind w:left="540" w:hanging="540"/>
        <w:rPr>
          <w:sz w:val="28"/>
          <w:szCs w:val="28"/>
          <w:lang w:val="en-US"/>
        </w:rPr>
      </w:pPr>
      <w:r w:rsidRPr="00255EBF">
        <w:rPr>
          <w:sz w:val="28"/>
          <w:szCs w:val="28"/>
          <w:lang w:val="en-US"/>
        </w:rPr>
        <w:t xml:space="preserve">1.3. The </w:t>
      </w:r>
      <w:r w:rsidRPr="00255EBF">
        <w:rPr>
          <w:b/>
          <w:sz w:val="28"/>
          <w:szCs w:val="28"/>
          <w:lang w:val="en-US"/>
        </w:rPr>
        <w:t>“Piano duo”</w:t>
      </w:r>
      <w:r w:rsidRPr="00255EBF">
        <w:rPr>
          <w:sz w:val="28"/>
          <w:szCs w:val="28"/>
          <w:lang w:val="en-US"/>
        </w:rPr>
        <w:t xml:space="preserve"> nomination of the competition is held for pianists not younger than 15 years of age and not older than 36 years of age</w:t>
      </w:r>
      <w:r w:rsidRPr="008626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 w:rsidRPr="003E7A7E">
        <w:rPr>
          <w:sz w:val="28"/>
          <w:szCs w:val="28"/>
          <w:lang w:val="en-US"/>
        </w:rPr>
        <w:t>at the moment of holding the Competition</w:t>
      </w:r>
      <w:r w:rsidRPr="00255EBF">
        <w:rPr>
          <w:sz w:val="28"/>
          <w:szCs w:val="28"/>
          <w:lang w:val="en-US"/>
        </w:rPr>
        <w:t xml:space="preserve">, i.e. born after </w:t>
      </w:r>
      <w:r>
        <w:rPr>
          <w:sz w:val="28"/>
          <w:szCs w:val="28"/>
          <w:lang w:val="en-US"/>
        </w:rPr>
        <w:t>April</w:t>
      </w:r>
      <w:r w:rsidRPr="003E7A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14</w:t>
      </w:r>
      <w:r w:rsidRPr="003E7A7E">
        <w:rPr>
          <w:sz w:val="28"/>
          <w:szCs w:val="28"/>
          <w:lang w:val="en-US"/>
        </w:rPr>
        <w:t>, 19</w:t>
      </w:r>
      <w:r>
        <w:rPr>
          <w:sz w:val="28"/>
          <w:szCs w:val="28"/>
          <w:lang w:val="en-US"/>
        </w:rPr>
        <w:t>84</w:t>
      </w:r>
      <w:r w:rsidRPr="00255EBF">
        <w:rPr>
          <w:sz w:val="28"/>
          <w:szCs w:val="28"/>
          <w:lang w:val="en-US"/>
        </w:rPr>
        <w:t xml:space="preserve"> but not later than </w:t>
      </w:r>
      <w:r>
        <w:rPr>
          <w:sz w:val="28"/>
          <w:szCs w:val="28"/>
          <w:lang w:val="en-US"/>
        </w:rPr>
        <w:t>April</w:t>
      </w:r>
      <w:r w:rsidRPr="00255EB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14</w:t>
      </w:r>
      <w:r w:rsidRPr="00255EBF">
        <w:rPr>
          <w:sz w:val="28"/>
          <w:szCs w:val="28"/>
          <w:lang w:val="en-US"/>
        </w:rPr>
        <w:t>, 200</w:t>
      </w:r>
      <w:r>
        <w:rPr>
          <w:sz w:val="28"/>
          <w:szCs w:val="28"/>
          <w:lang w:val="en-US"/>
        </w:rPr>
        <w:t>6)</w:t>
      </w:r>
      <w:r w:rsidRPr="00255EBF">
        <w:rPr>
          <w:sz w:val="28"/>
          <w:szCs w:val="28"/>
          <w:lang w:val="en-US"/>
        </w:rPr>
        <w:t>.</w:t>
      </w:r>
    </w:p>
    <w:p w:rsidR="008A285F" w:rsidRPr="00BA709E" w:rsidRDefault="008A285F" w:rsidP="008A285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1.4</w:t>
      </w:r>
      <w:r w:rsidRPr="00BA709E">
        <w:rPr>
          <w:sz w:val="28"/>
          <w:szCs w:val="28"/>
          <w:lang w:val="en-US"/>
        </w:rPr>
        <w:t>. The Laureates of the 1</w:t>
      </w:r>
      <w:r w:rsidRPr="00BA709E">
        <w:rPr>
          <w:sz w:val="28"/>
          <w:szCs w:val="28"/>
          <w:vertAlign w:val="superscript"/>
          <w:lang w:val="en-US"/>
        </w:rPr>
        <w:t>st</w:t>
      </w:r>
      <w:r w:rsidRPr="00BA709E">
        <w:rPr>
          <w:sz w:val="28"/>
          <w:szCs w:val="28"/>
          <w:lang w:val="en-US"/>
        </w:rPr>
        <w:t xml:space="preserve"> prize of the International </w:t>
      </w:r>
      <w:proofErr w:type="spellStart"/>
      <w:r w:rsidRPr="00BA709E">
        <w:rPr>
          <w:sz w:val="28"/>
          <w:szCs w:val="28"/>
          <w:lang w:val="en-US"/>
        </w:rPr>
        <w:t>Stanislav</w:t>
      </w:r>
      <w:proofErr w:type="spellEnd"/>
      <w:r w:rsidRPr="00BA709E">
        <w:rPr>
          <w:sz w:val="28"/>
          <w:szCs w:val="28"/>
          <w:lang w:val="en-US"/>
        </w:rPr>
        <w:t xml:space="preserve"> </w:t>
      </w:r>
      <w:proofErr w:type="spellStart"/>
      <w:r w:rsidRPr="00BA709E">
        <w:rPr>
          <w:sz w:val="28"/>
          <w:szCs w:val="28"/>
          <w:lang w:val="en-US"/>
        </w:rPr>
        <w:t>Neuhaus</w:t>
      </w:r>
      <w:proofErr w:type="spellEnd"/>
      <w:r w:rsidRPr="00BA709E">
        <w:rPr>
          <w:sz w:val="28"/>
          <w:szCs w:val="28"/>
          <w:lang w:val="en-US"/>
        </w:rPr>
        <w:t xml:space="preserve"> Piano Competition can’t take part in the competition.</w:t>
      </w:r>
    </w:p>
    <w:p w:rsidR="008A285F" w:rsidRPr="005845B7" w:rsidRDefault="008A285F" w:rsidP="008A285F">
      <w:pPr>
        <w:rPr>
          <w:sz w:val="28"/>
          <w:szCs w:val="28"/>
          <w:lang w:val="en-US"/>
        </w:rPr>
      </w:pPr>
      <w:r w:rsidRPr="005845B7">
        <w:rPr>
          <w:sz w:val="28"/>
          <w:szCs w:val="28"/>
          <w:lang w:val="en-US"/>
        </w:rPr>
        <w:t xml:space="preserve">1.5. Participation in the Competition is conditional on a candidate filling on-line application form (can be found on the Competition site) or submitting the required documents and sending them by e-mail by </w:t>
      </w:r>
      <w:r w:rsidR="006D4AE5">
        <w:rPr>
          <w:sz w:val="28"/>
          <w:szCs w:val="28"/>
          <w:lang w:val="en-US"/>
        </w:rPr>
        <w:t>January</w:t>
      </w:r>
      <w:r w:rsidR="006D4AE5" w:rsidRPr="005845B7">
        <w:rPr>
          <w:sz w:val="28"/>
          <w:szCs w:val="28"/>
          <w:lang w:val="en-US"/>
        </w:rPr>
        <w:t xml:space="preserve"> </w:t>
      </w:r>
      <w:r w:rsidR="006D4AE5">
        <w:rPr>
          <w:sz w:val="28"/>
          <w:szCs w:val="28"/>
          <w:lang w:val="en-US"/>
        </w:rPr>
        <w:t>20</w:t>
      </w:r>
      <w:r w:rsidR="006D4AE5" w:rsidRPr="005845B7">
        <w:rPr>
          <w:sz w:val="28"/>
          <w:szCs w:val="28"/>
          <w:lang w:val="en-US"/>
        </w:rPr>
        <w:t>, 202</w:t>
      </w:r>
      <w:r w:rsidR="006D4AE5">
        <w:rPr>
          <w:sz w:val="28"/>
          <w:szCs w:val="28"/>
          <w:lang w:val="en-US"/>
        </w:rPr>
        <w:t>1</w:t>
      </w:r>
      <w:r w:rsidRPr="005845B7">
        <w:rPr>
          <w:sz w:val="28"/>
          <w:szCs w:val="28"/>
          <w:lang w:val="en-US"/>
        </w:rPr>
        <w:t>:</w:t>
      </w:r>
    </w:p>
    <w:p w:rsidR="008A285F" w:rsidRPr="00BA709E" w:rsidRDefault="008A285F" w:rsidP="008A285F">
      <w:pPr>
        <w:rPr>
          <w:sz w:val="28"/>
          <w:szCs w:val="28"/>
          <w:lang w:val="en-US"/>
        </w:rPr>
      </w:pPr>
      <w:r w:rsidRPr="00BA709E">
        <w:rPr>
          <w:sz w:val="28"/>
          <w:szCs w:val="28"/>
          <w:lang w:val="en-US"/>
        </w:rPr>
        <w:t xml:space="preserve">      Candidates should send the attached application form, completed legibly in printed letters, in Russian or English to the following mail address: </w:t>
      </w:r>
    </w:p>
    <w:p w:rsidR="008A285F" w:rsidRDefault="008A285F" w:rsidP="008A285F">
      <w:pPr>
        <w:ind w:firstLine="1134"/>
        <w:rPr>
          <w:b/>
          <w:sz w:val="28"/>
          <w:szCs w:val="28"/>
          <w:lang w:val="en-US"/>
        </w:rPr>
      </w:pPr>
    </w:p>
    <w:p w:rsidR="008A285F" w:rsidRPr="00BA709E" w:rsidRDefault="008A285F" w:rsidP="008A285F">
      <w:pPr>
        <w:ind w:firstLine="1134"/>
        <w:rPr>
          <w:b/>
          <w:sz w:val="28"/>
          <w:szCs w:val="28"/>
          <w:lang w:val="en-US"/>
        </w:rPr>
      </w:pPr>
      <w:r w:rsidRPr="00BA709E">
        <w:rPr>
          <w:b/>
          <w:sz w:val="28"/>
          <w:szCs w:val="28"/>
          <w:lang w:val="en-US"/>
        </w:rPr>
        <w:t xml:space="preserve">Organizing Committee of </w:t>
      </w:r>
      <w:proofErr w:type="spellStart"/>
      <w:r w:rsidRPr="00BA709E">
        <w:rPr>
          <w:b/>
          <w:sz w:val="28"/>
          <w:szCs w:val="28"/>
          <w:lang w:val="en-US"/>
        </w:rPr>
        <w:t>Stanislav</w:t>
      </w:r>
      <w:proofErr w:type="spellEnd"/>
      <w:r w:rsidRPr="00BA709E">
        <w:rPr>
          <w:b/>
          <w:sz w:val="28"/>
          <w:szCs w:val="28"/>
          <w:lang w:val="en-US"/>
        </w:rPr>
        <w:t xml:space="preserve"> </w:t>
      </w:r>
      <w:proofErr w:type="spellStart"/>
      <w:r w:rsidRPr="00BA709E">
        <w:rPr>
          <w:b/>
          <w:sz w:val="28"/>
          <w:szCs w:val="28"/>
          <w:lang w:val="en-US"/>
        </w:rPr>
        <w:t>Neuhaus</w:t>
      </w:r>
      <w:proofErr w:type="spellEnd"/>
      <w:r w:rsidRPr="00BA709E">
        <w:rPr>
          <w:b/>
          <w:sz w:val="28"/>
          <w:szCs w:val="28"/>
          <w:lang w:val="en-US"/>
        </w:rPr>
        <w:t xml:space="preserve"> Piano Competition</w:t>
      </w:r>
    </w:p>
    <w:p w:rsidR="008A285F" w:rsidRPr="00707703" w:rsidRDefault="008A285F" w:rsidP="008A285F">
      <w:pPr>
        <w:ind w:firstLine="1134"/>
        <w:rPr>
          <w:b/>
          <w:sz w:val="28"/>
          <w:szCs w:val="28"/>
          <w:lang w:val="en-US"/>
        </w:rPr>
      </w:pPr>
      <w:r w:rsidRPr="00707703">
        <w:rPr>
          <w:b/>
          <w:sz w:val="28"/>
          <w:szCs w:val="28"/>
          <w:lang w:val="en-US"/>
        </w:rPr>
        <w:t>The Conservatoire Faculty</w:t>
      </w:r>
    </w:p>
    <w:p w:rsidR="008A285F" w:rsidRPr="00BA709E" w:rsidRDefault="008A285F" w:rsidP="008A285F">
      <w:pPr>
        <w:ind w:firstLine="1134"/>
        <w:rPr>
          <w:b/>
          <w:sz w:val="28"/>
          <w:szCs w:val="28"/>
          <w:lang w:val="en-US"/>
        </w:rPr>
      </w:pPr>
      <w:r w:rsidRPr="00BA709E">
        <w:rPr>
          <w:b/>
          <w:sz w:val="28"/>
          <w:szCs w:val="28"/>
          <w:lang w:val="en-US"/>
        </w:rPr>
        <w:t xml:space="preserve">The Chelyabinsk State </w:t>
      </w:r>
      <w:r>
        <w:rPr>
          <w:b/>
          <w:sz w:val="28"/>
          <w:szCs w:val="28"/>
          <w:lang w:val="en-US"/>
        </w:rPr>
        <w:t>Institute</w:t>
      </w:r>
      <w:r w:rsidRPr="00BA709E">
        <w:rPr>
          <w:b/>
          <w:sz w:val="28"/>
          <w:szCs w:val="28"/>
          <w:lang w:val="en-US"/>
        </w:rPr>
        <w:t xml:space="preserve"> of Culture</w:t>
      </w:r>
    </w:p>
    <w:p w:rsidR="008A285F" w:rsidRPr="00BA709E" w:rsidRDefault="008A285F" w:rsidP="008A285F">
      <w:pPr>
        <w:ind w:firstLine="1134"/>
        <w:rPr>
          <w:b/>
          <w:sz w:val="28"/>
          <w:szCs w:val="28"/>
          <w:lang w:val="en-US"/>
        </w:rPr>
      </w:pPr>
      <w:smartTag w:uri="urn:schemas-microsoft-com:office:smarttags" w:element="Street">
        <w:smartTag w:uri="urn:schemas-microsoft-com:office:smarttags" w:element="address">
          <w:r w:rsidRPr="00BA709E">
            <w:rPr>
              <w:b/>
              <w:sz w:val="28"/>
              <w:szCs w:val="28"/>
              <w:lang w:val="en-US"/>
            </w:rPr>
            <w:t>Ordzhonikidze St.</w:t>
          </w:r>
        </w:smartTag>
      </w:smartTag>
      <w:r w:rsidRPr="00BA709E">
        <w:rPr>
          <w:b/>
          <w:sz w:val="28"/>
          <w:szCs w:val="28"/>
          <w:lang w:val="en-US"/>
        </w:rPr>
        <w:t xml:space="preserve"> 36A</w:t>
      </w:r>
    </w:p>
    <w:p w:rsidR="008A285F" w:rsidRPr="00BA709E" w:rsidRDefault="008A285F" w:rsidP="008A285F">
      <w:pPr>
        <w:ind w:firstLine="1134"/>
        <w:rPr>
          <w:b/>
          <w:sz w:val="28"/>
          <w:szCs w:val="28"/>
          <w:lang w:val="en-US"/>
        </w:rPr>
      </w:pPr>
      <w:r w:rsidRPr="00BA709E">
        <w:rPr>
          <w:b/>
          <w:sz w:val="28"/>
          <w:szCs w:val="28"/>
          <w:lang w:val="en-US"/>
        </w:rPr>
        <w:t xml:space="preserve">454091 </w:t>
      </w:r>
      <w:smartTag w:uri="urn:schemas-microsoft-com:office:smarttags" w:element="place">
        <w:smartTag w:uri="urn:schemas-microsoft-com:office:smarttags" w:element="City">
          <w:r w:rsidRPr="00BA709E">
            <w:rPr>
              <w:b/>
              <w:sz w:val="28"/>
              <w:szCs w:val="28"/>
              <w:lang w:val="en-US"/>
            </w:rPr>
            <w:t>Chelyabinsk</w:t>
          </w:r>
        </w:smartTag>
        <w:r w:rsidRPr="00BA709E">
          <w:rPr>
            <w:b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BA709E">
            <w:rPr>
              <w:b/>
              <w:sz w:val="28"/>
              <w:szCs w:val="28"/>
              <w:lang w:val="en-US"/>
            </w:rPr>
            <w:t>Russia</w:t>
          </w:r>
        </w:smartTag>
      </w:smartTag>
    </w:p>
    <w:p w:rsidR="008A285F" w:rsidRPr="00BA709E" w:rsidRDefault="008A285F" w:rsidP="008A285F">
      <w:pPr>
        <w:ind w:firstLine="426"/>
        <w:rPr>
          <w:b/>
          <w:sz w:val="28"/>
          <w:szCs w:val="28"/>
          <w:u w:val="single"/>
          <w:lang w:val="en-US"/>
        </w:rPr>
      </w:pPr>
      <w:proofErr w:type="gramStart"/>
      <w:r w:rsidRPr="00BA709E">
        <w:rPr>
          <w:sz w:val="28"/>
          <w:szCs w:val="28"/>
          <w:lang w:val="en-US"/>
        </w:rPr>
        <w:t>or</w:t>
      </w:r>
      <w:proofErr w:type="gramEnd"/>
      <w:r w:rsidRPr="00BA709E">
        <w:rPr>
          <w:sz w:val="28"/>
          <w:szCs w:val="28"/>
          <w:lang w:val="en-US"/>
        </w:rPr>
        <w:t xml:space="preserve"> </w:t>
      </w:r>
      <w:r w:rsidRPr="00A0793D">
        <w:rPr>
          <w:b/>
          <w:sz w:val="28"/>
          <w:szCs w:val="28"/>
          <w:lang w:val="en-US"/>
        </w:rPr>
        <w:t>e-mail address</w:t>
      </w:r>
      <w:r w:rsidRPr="00BA709E">
        <w:rPr>
          <w:sz w:val="28"/>
          <w:szCs w:val="28"/>
          <w:lang w:val="en-US"/>
        </w:rPr>
        <w:t xml:space="preserve">: </w:t>
      </w:r>
      <w:hyperlink r:id="rId4" w:history="1">
        <w:r w:rsidRPr="00BA709E">
          <w:rPr>
            <w:rStyle w:val="a5"/>
            <w:b/>
            <w:sz w:val="28"/>
            <w:szCs w:val="28"/>
            <w:lang w:val="en-US"/>
          </w:rPr>
          <w:t>neuhaus@chgaki.ru</w:t>
        </w:r>
      </w:hyperlink>
    </w:p>
    <w:p w:rsidR="008A285F" w:rsidRPr="00CB5926" w:rsidRDefault="0037350F" w:rsidP="008A285F">
      <w:pPr>
        <w:ind w:firstLine="426"/>
        <w:rPr>
          <w:b/>
          <w:sz w:val="28"/>
          <w:szCs w:val="28"/>
          <w:lang w:val="en-US"/>
        </w:rPr>
      </w:pPr>
      <w:hyperlink r:id="rId5" w:history="1">
        <w:r w:rsidR="008A285F" w:rsidRPr="00CB5926">
          <w:rPr>
            <w:rStyle w:val="a5"/>
            <w:b/>
            <w:sz w:val="28"/>
            <w:szCs w:val="28"/>
            <w:lang w:val="de-DE"/>
          </w:rPr>
          <w:t>http://chgik.ru/neuhaus</w:t>
        </w:r>
      </w:hyperlink>
    </w:p>
    <w:p w:rsidR="008A285F" w:rsidRPr="00BA709E" w:rsidRDefault="008A285F" w:rsidP="008A285F">
      <w:pPr>
        <w:ind w:firstLine="426"/>
        <w:rPr>
          <w:sz w:val="28"/>
          <w:szCs w:val="28"/>
          <w:lang w:val="en-US"/>
        </w:rPr>
      </w:pPr>
      <w:r w:rsidRPr="00BA709E">
        <w:rPr>
          <w:sz w:val="28"/>
          <w:szCs w:val="28"/>
          <w:lang w:val="en-US"/>
        </w:rPr>
        <w:t>The Following should be included with the application form:</w:t>
      </w:r>
    </w:p>
    <w:p w:rsidR="008A285F" w:rsidRPr="00BA709E" w:rsidRDefault="008A285F" w:rsidP="008A285F">
      <w:pPr>
        <w:ind w:firstLine="426"/>
        <w:rPr>
          <w:sz w:val="28"/>
          <w:szCs w:val="28"/>
          <w:lang w:val="en-US"/>
        </w:rPr>
      </w:pPr>
      <w:r w:rsidRPr="00BA709E">
        <w:rPr>
          <w:sz w:val="28"/>
          <w:szCs w:val="28"/>
          <w:lang w:val="en-US"/>
        </w:rPr>
        <w:t xml:space="preserve">a) Repertoire </w:t>
      </w:r>
      <w:r>
        <w:rPr>
          <w:sz w:val="28"/>
          <w:szCs w:val="28"/>
          <w:lang w:val="en-US"/>
        </w:rPr>
        <w:t xml:space="preserve">Tour </w:t>
      </w:r>
      <w:r w:rsidRPr="00BA709E">
        <w:rPr>
          <w:sz w:val="28"/>
          <w:szCs w:val="28"/>
          <w:lang w:val="en-US"/>
        </w:rPr>
        <w:t xml:space="preserve">List with names of composers, full name of the work, </w:t>
      </w:r>
      <w:r w:rsidRPr="00BA709E">
        <w:rPr>
          <w:rStyle w:val="refresult1"/>
          <w:sz w:val="28"/>
          <w:szCs w:val="28"/>
          <w:lang w:val="en-US"/>
        </w:rPr>
        <w:t>tonality</w:t>
      </w:r>
      <w:r w:rsidRPr="00BA709E">
        <w:rPr>
          <w:sz w:val="28"/>
          <w:szCs w:val="28"/>
          <w:lang w:val="en-US"/>
        </w:rPr>
        <w:t xml:space="preserve">, opus, duration of sounding </w:t>
      </w:r>
      <w:r w:rsidRPr="00CB5926">
        <w:rPr>
          <w:sz w:val="28"/>
          <w:szCs w:val="28"/>
          <w:lang w:val="en-US"/>
        </w:rPr>
        <w:t xml:space="preserve">(Enclosure </w:t>
      </w:r>
      <w:r>
        <w:rPr>
          <w:sz w:val="28"/>
          <w:szCs w:val="28"/>
          <w:lang w:val="en-US"/>
        </w:rPr>
        <w:t>1</w:t>
      </w:r>
      <w:r w:rsidRPr="00CB5926">
        <w:rPr>
          <w:sz w:val="28"/>
          <w:szCs w:val="28"/>
          <w:lang w:val="en-US"/>
        </w:rPr>
        <w:t>)</w:t>
      </w:r>
      <w:r w:rsidRPr="00BA709E">
        <w:rPr>
          <w:sz w:val="28"/>
          <w:szCs w:val="28"/>
          <w:lang w:val="en-US"/>
        </w:rPr>
        <w:t>;</w:t>
      </w:r>
    </w:p>
    <w:p w:rsidR="008A285F" w:rsidRPr="00BA709E" w:rsidRDefault="008A285F" w:rsidP="008A285F">
      <w:pPr>
        <w:ind w:firstLine="426"/>
        <w:rPr>
          <w:sz w:val="28"/>
          <w:szCs w:val="28"/>
          <w:lang w:val="en-US"/>
        </w:rPr>
      </w:pPr>
      <w:r w:rsidRPr="00BA709E">
        <w:rPr>
          <w:sz w:val="28"/>
          <w:szCs w:val="28"/>
          <w:lang w:val="en-US"/>
        </w:rPr>
        <w:t xml:space="preserve">b) </w:t>
      </w:r>
      <w:proofErr w:type="gramStart"/>
      <w:r w:rsidRPr="00BA709E">
        <w:rPr>
          <w:sz w:val="28"/>
          <w:szCs w:val="28"/>
          <w:lang w:val="en-US"/>
        </w:rPr>
        <w:t>birth</w:t>
      </w:r>
      <w:proofErr w:type="gramEnd"/>
      <w:r w:rsidRPr="00BA709E">
        <w:rPr>
          <w:sz w:val="28"/>
          <w:szCs w:val="28"/>
          <w:lang w:val="en-US"/>
        </w:rPr>
        <w:t xml:space="preserve"> certificate or passport (photocopy);</w:t>
      </w:r>
    </w:p>
    <w:p w:rsidR="008A285F" w:rsidRPr="00BA709E" w:rsidRDefault="008A285F" w:rsidP="008A285F">
      <w:pPr>
        <w:ind w:firstLine="426"/>
        <w:rPr>
          <w:sz w:val="28"/>
          <w:szCs w:val="28"/>
          <w:lang w:val="en-US"/>
        </w:rPr>
      </w:pPr>
      <w:r w:rsidRPr="00BA709E">
        <w:rPr>
          <w:sz w:val="28"/>
          <w:szCs w:val="28"/>
          <w:lang w:val="en-US"/>
        </w:rPr>
        <w:t xml:space="preserve">c) </w:t>
      </w:r>
      <w:proofErr w:type="gramStart"/>
      <w:r w:rsidRPr="00BA709E">
        <w:rPr>
          <w:sz w:val="28"/>
          <w:szCs w:val="28"/>
          <w:lang w:val="en-US"/>
        </w:rPr>
        <w:t>documentation</w:t>
      </w:r>
      <w:proofErr w:type="gramEnd"/>
      <w:r w:rsidRPr="00BA709E">
        <w:rPr>
          <w:sz w:val="28"/>
          <w:szCs w:val="28"/>
          <w:lang w:val="en-US"/>
        </w:rPr>
        <w:t xml:space="preserve"> of musical studies  (photocopies);</w:t>
      </w:r>
    </w:p>
    <w:p w:rsidR="008A285F" w:rsidRPr="00BA709E" w:rsidRDefault="008A285F" w:rsidP="008A285F">
      <w:pPr>
        <w:ind w:firstLine="426"/>
        <w:rPr>
          <w:sz w:val="28"/>
          <w:szCs w:val="28"/>
          <w:lang w:val="en-US"/>
        </w:rPr>
      </w:pPr>
      <w:r w:rsidRPr="00BA709E">
        <w:rPr>
          <w:sz w:val="28"/>
          <w:szCs w:val="28"/>
          <w:lang w:val="en-US"/>
        </w:rPr>
        <w:t>d) brief CV (education, teachers’ names, participation in piano competitions, copies of diplomas, concert activity, prizes and honorary mentions, programs from concerts and festivals etc.);</w:t>
      </w:r>
    </w:p>
    <w:p w:rsidR="008A285F" w:rsidRPr="00BA709E" w:rsidRDefault="008A285F" w:rsidP="008A285F">
      <w:pPr>
        <w:ind w:firstLine="426"/>
        <w:rPr>
          <w:sz w:val="28"/>
          <w:szCs w:val="28"/>
          <w:lang w:val="en-US"/>
        </w:rPr>
      </w:pPr>
      <w:r w:rsidRPr="00BA709E">
        <w:rPr>
          <w:sz w:val="28"/>
          <w:szCs w:val="28"/>
          <w:lang w:val="en-US"/>
        </w:rPr>
        <w:t xml:space="preserve">e) </w:t>
      </w:r>
      <w:proofErr w:type="gramStart"/>
      <w:r w:rsidRPr="00BA709E">
        <w:rPr>
          <w:sz w:val="28"/>
          <w:szCs w:val="28"/>
          <w:lang w:val="en-US"/>
        </w:rPr>
        <w:t>recommendations</w:t>
      </w:r>
      <w:proofErr w:type="gramEnd"/>
      <w:r w:rsidRPr="00BA709E">
        <w:rPr>
          <w:sz w:val="28"/>
          <w:szCs w:val="28"/>
          <w:lang w:val="en-US"/>
        </w:rPr>
        <w:t xml:space="preserve"> from renowned musicians, CEO of concert company or musical institution;</w:t>
      </w:r>
    </w:p>
    <w:p w:rsidR="008A285F" w:rsidRPr="00CB5926" w:rsidRDefault="008A285F" w:rsidP="008A285F">
      <w:pPr>
        <w:pStyle w:val="a3"/>
        <w:spacing w:line="240" w:lineRule="auto"/>
        <w:rPr>
          <w:lang w:val="en-US"/>
        </w:rPr>
      </w:pPr>
      <w:r w:rsidRPr="00BA709E">
        <w:rPr>
          <w:lang w:val="en-US"/>
        </w:rPr>
        <w:t xml:space="preserve">f) </w:t>
      </w:r>
      <w:proofErr w:type="gramStart"/>
      <w:r w:rsidRPr="00BA709E">
        <w:rPr>
          <w:lang w:val="en-US"/>
        </w:rPr>
        <w:t>current</w:t>
      </w:r>
      <w:proofErr w:type="gramEnd"/>
      <w:r w:rsidRPr="00BA709E">
        <w:rPr>
          <w:lang w:val="en-US"/>
        </w:rPr>
        <w:t xml:space="preserve"> color portrait photograph</w:t>
      </w:r>
      <w:r>
        <w:rPr>
          <w:lang w:val="en-US"/>
        </w:rPr>
        <w:t>y</w:t>
      </w:r>
      <w:r w:rsidRPr="00BA709E">
        <w:rPr>
          <w:lang w:val="en-US"/>
        </w:rPr>
        <w:t xml:space="preserve"> (JPEG 10 x 15, 300 dpi</w:t>
      </w:r>
      <w:r w:rsidRPr="00255EBF">
        <w:rPr>
          <w:lang w:val="en-US"/>
        </w:rPr>
        <w:t xml:space="preserve">) (for </w:t>
      </w:r>
      <w:r w:rsidRPr="00255EBF">
        <w:rPr>
          <w:b/>
          <w:lang w:val="en-US"/>
        </w:rPr>
        <w:t>“Piano duo”</w:t>
      </w:r>
      <w:r w:rsidRPr="00255EBF">
        <w:rPr>
          <w:lang w:val="en-US"/>
        </w:rPr>
        <w:t xml:space="preserve"> nomination photo of both musicians desirable)</w:t>
      </w:r>
      <w:r w:rsidRPr="00CB5926">
        <w:rPr>
          <w:lang w:val="en-US"/>
        </w:rPr>
        <w:t>;</w:t>
      </w:r>
    </w:p>
    <w:p w:rsidR="008A285F" w:rsidRPr="00CB5926" w:rsidRDefault="008A285F" w:rsidP="008A285F">
      <w:pPr>
        <w:pStyle w:val="a3"/>
        <w:spacing w:line="240" w:lineRule="auto"/>
        <w:rPr>
          <w:lang w:val="en-US"/>
        </w:rPr>
      </w:pPr>
      <w:r w:rsidRPr="00CB5926">
        <w:rPr>
          <w:lang w:val="en-US"/>
        </w:rPr>
        <w:lastRenderedPageBreak/>
        <w:t xml:space="preserve">g) </w:t>
      </w:r>
      <w:proofErr w:type="gramStart"/>
      <w:r w:rsidRPr="00CB5926">
        <w:rPr>
          <w:lang w:val="en-US"/>
        </w:rPr>
        <w:t>w</w:t>
      </w:r>
      <w:r w:rsidRPr="00CB5926">
        <w:rPr>
          <w:szCs w:val="28"/>
          <w:lang w:val="en-US"/>
        </w:rPr>
        <w:t>ritten</w:t>
      </w:r>
      <w:proofErr w:type="gramEnd"/>
      <w:r w:rsidRPr="00CB5926">
        <w:rPr>
          <w:szCs w:val="28"/>
          <w:lang w:val="en-US"/>
        </w:rPr>
        <w:t xml:space="preserve"> consent for personal data processing operations in Russian (Enclosure 2).</w:t>
      </w:r>
      <w:r w:rsidRPr="00CB5926">
        <w:rPr>
          <w:lang w:val="en-US"/>
        </w:rPr>
        <w:t xml:space="preserve"> </w:t>
      </w:r>
    </w:p>
    <w:p w:rsidR="008A285F" w:rsidRPr="005845B7" w:rsidRDefault="008A285F" w:rsidP="008A285F">
      <w:pPr>
        <w:rPr>
          <w:sz w:val="28"/>
          <w:szCs w:val="28"/>
          <w:lang w:val="en-US"/>
        </w:rPr>
      </w:pPr>
      <w:r w:rsidRPr="005845B7">
        <w:rPr>
          <w:sz w:val="28"/>
          <w:szCs w:val="28"/>
          <w:lang w:val="en-US"/>
        </w:rPr>
        <w:t xml:space="preserve">1.6. Entrance Fee for the participants is: </w:t>
      </w:r>
    </w:p>
    <w:p w:rsidR="008A285F" w:rsidRPr="005845B7" w:rsidRDefault="008A285F" w:rsidP="008A285F">
      <w:pPr>
        <w:rPr>
          <w:b/>
          <w:sz w:val="28"/>
          <w:szCs w:val="28"/>
          <w:lang w:val="en-US"/>
        </w:rPr>
      </w:pPr>
      <w:r w:rsidRPr="005845B7">
        <w:rPr>
          <w:sz w:val="28"/>
          <w:szCs w:val="28"/>
          <w:lang w:val="en-US"/>
        </w:rPr>
        <w:t xml:space="preserve">       </w:t>
      </w:r>
      <w:r w:rsidRPr="005845B7">
        <w:rPr>
          <w:b/>
          <w:sz w:val="28"/>
          <w:szCs w:val="28"/>
          <w:lang w:val="en-US"/>
        </w:rPr>
        <w:t>“Piano Solo”</w:t>
      </w:r>
    </w:p>
    <w:p w:rsidR="008A285F" w:rsidRPr="005845B7" w:rsidRDefault="008A285F" w:rsidP="008A285F">
      <w:pPr>
        <w:ind w:firstLine="540"/>
        <w:rPr>
          <w:sz w:val="28"/>
          <w:szCs w:val="28"/>
          <w:lang w:val="en-US"/>
        </w:rPr>
      </w:pPr>
      <w:proofErr w:type="gramStart"/>
      <w:r w:rsidRPr="005845B7">
        <w:rPr>
          <w:sz w:val="28"/>
          <w:szCs w:val="28"/>
          <w:lang w:val="en-US"/>
        </w:rPr>
        <w:t>for</w:t>
      </w:r>
      <w:proofErr w:type="gramEnd"/>
      <w:r w:rsidRPr="005845B7">
        <w:rPr>
          <w:sz w:val="28"/>
          <w:szCs w:val="28"/>
          <w:lang w:val="en-US"/>
        </w:rPr>
        <w:t xml:space="preserve"> Category A  – 2500 rubles</w:t>
      </w:r>
    </w:p>
    <w:p w:rsidR="008A285F" w:rsidRPr="005845B7" w:rsidRDefault="008A285F" w:rsidP="008A285F">
      <w:pPr>
        <w:rPr>
          <w:sz w:val="28"/>
          <w:szCs w:val="28"/>
          <w:lang w:val="en-US"/>
        </w:rPr>
      </w:pPr>
      <w:r w:rsidRPr="005845B7">
        <w:rPr>
          <w:sz w:val="28"/>
          <w:szCs w:val="28"/>
          <w:lang w:val="en-US"/>
        </w:rPr>
        <w:t xml:space="preserve">        </w:t>
      </w:r>
      <w:proofErr w:type="gramStart"/>
      <w:r w:rsidRPr="005845B7">
        <w:rPr>
          <w:sz w:val="28"/>
          <w:szCs w:val="28"/>
          <w:lang w:val="en-US"/>
        </w:rPr>
        <w:t>for</w:t>
      </w:r>
      <w:proofErr w:type="gramEnd"/>
      <w:r w:rsidRPr="005845B7">
        <w:rPr>
          <w:sz w:val="28"/>
          <w:szCs w:val="28"/>
          <w:lang w:val="en-US"/>
        </w:rPr>
        <w:t xml:space="preserve"> Category B  – 3500 rubles</w:t>
      </w:r>
    </w:p>
    <w:p w:rsidR="008A285F" w:rsidRPr="005845B7" w:rsidRDefault="008A285F" w:rsidP="008A285F">
      <w:pPr>
        <w:ind w:firstLine="540"/>
        <w:rPr>
          <w:b/>
          <w:sz w:val="28"/>
          <w:szCs w:val="28"/>
          <w:lang w:val="en-US"/>
        </w:rPr>
      </w:pPr>
      <w:r w:rsidRPr="005845B7">
        <w:rPr>
          <w:sz w:val="28"/>
          <w:szCs w:val="28"/>
          <w:lang w:val="en-US"/>
        </w:rPr>
        <w:t>“</w:t>
      </w:r>
      <w:r w:rsidRPr="005845B7">
        <w:rPr>
          <w:b/>
          <w:sz w:val="28"/>
          <w:szCs w:val="28"/>
          <w:lang w:val="en-US"/>
        </w:rPr>
        <w:t xml:space="preserve">Piano Duo”     </w:t>
      </w:r>
      <w:r w:rsidRPr="005845B7">
        <w:rPr>
          <w:sz w:val="28"/>
          <w:szCs w:val="28"/>
          <w:lang w:val="en-US"/>
        </w:rPr>
        <w:t>– 5000 rubles</w:t>
      </w:r>
    </w:p>
    <w:p w:rsidR="008A285F" w:rsidRPr="005845B7" w:rsidRDefault="008A285F" w:rsidP="008A285F">
      <w:pPr>
        <w:ind w:firstLine="540"/>
        <w:jc w:val="both"/>
        <w:rPr>
          <w:sz w:val="28"/>
          <w:szCs w:val="28"/>
          <w:lang w:val="en-US"/>
        </w:rPr>
      </w:pPr>
      <w:r w:rsidRPr="005845B7">
        <w:rPr>
          <w:sz w:val="28"/>
          <w:szCs w:val="28"/>
          <w:lang w:val="en-US"/>
        </w:rPr>
        <w:t xml:space="preserve">Entrance fee is paid strictly before the Competition by payments through a bank (by wire transfer of funds in any bank or bank terminal). All necessary documents proving the payment are given to the payer. </w:t>
      </w:r>
    </w:p>
    <w:p w:rsidR="008A285F" w:rsidRPr="005845B7" w:rsidRDefault="008A285F" w:rsidP="008A285F">
      <w:pPr>
        <w:ind w:firstLine="540"/>
        <w:rPr>
          <w:sz w:val="28"/>
          <w:szCs w:val="28"/>
          <w:lang w:val="en-US"/>
        </w:rPr>
      </w:pPr>
      <w:r w:rsidRPr="005845B7">
        <w:rPr>
          <w:sz w:val="28"/>
          <w:szCs w:val="28"/>
          <w:lang w:val="en-US"/>
        </w:rPr>
        <w:t>Entrance fee details of payment:</w:t>
      </w:r>
    </w:p>
    <w:p w:rsidR="008A285F" w:rsidRDefault="008A285F" w:rsidP="008A285F">
      <w:pPr>
        <w:ind w:firstLine="540"/>
        <w:rPr>
          <w:color w:val="FF0000"/>
          <w:lang w:val="en-US"/>
        </w:rPr>
      </w:pPr>
    </w:p>
    <w:tbl>
      <w:tblPr>
        <w:tblW w:w="9307" w:type="dxa"/>
        <w:tblCellSpacing w:w="7" w:type="dxa"/>
        <w:tblInd w:w="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0"/>
        <w:gridCol w:w="6317"/>
      </w:tblGrid>
      <w:tr w:rsidR="008A285F" w:rsidRPr="0071127E" w:rsidTr="00AE5A77">
        <w:trPr>
          <w:tblCellSpacing w:w="7" w:type="dxa"/>
        </w:trPr>
        <w:tc>
          <w:tcPr>
            <w:tcW w:w="296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8A285F" w:rsidRPr="0071127E" w:rsidRDefault="008A285F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Получатель платежа</w:t>
            </w:r>
            <w:r w:rsidRPr="0071127E">
              <w:rPr>
                <w:rFonts w:ascii="PT Sans" w:hAnsi="PT Sans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62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8A285F" w:rsidRPr="0071127E" w:rsidRDefault="008A285F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 xml:space="preserve">УФК по Челябинской области (Челябинский государственный институт культуры </w:t>
            </w:r>
            <w:proofErr w:type="gramStart"/>
            <w:r w:rsidRPr="0071127E">
              <w:rPr>
                <w:sz w:val="28"/>
                <w:szCs w:val="28"/>
              </w:rPr>
              <w:t>л</w:t>
            </w:r>
            <w:proofErr w:type="gramEnd"/>
            <w:r w:rsidRPr="0071127E">
              <w:rPr>
                <w:sz w:val="28"/>
                <w:szCs w:val="28"/>
              </w:rPr>
              <w:t>/с 20696X30860)</w:t>
            </w:r>
          </w:p>
        </w:tc>
      </w:tr>
      <w:tr w:rsidR="008A285F" w:rsidRPr="0071127E" w:rsidTr="00AE5A77">
        <w:trPr>
          <w:tblCellSpacing w:w="7" w:type="dxa"/>
        </w:trPr>
        <w:tc>
          <w:tcPr>
            <w:tcW w:w="296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8A285F" w:rsidRPr="0071127E" w:rsidRDefault="008A285F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62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8A285F" w:rsidRPr="0071127E" w:rsidRDefault="008A285F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Отделение  Челябинск</w:t>
            </w:r>
          </w:p>
        </w:tc>
      </w:tr>
      <w:tr w:rsidR="008A285F" w:rsidRPr="0071127E" w:rsidTr="00AE5A77">
        <w:trPr>
          <w:tblCellSpacing w:w="7" w:type="dxa"/>
        </w:trPr>
        <w:tc>
          <w:tcPr>
            <w:tcW w:w="296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8A285F" w:rsidRPr="0071127E" w:rsidRDefault="008A285F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ИНН (учреждения)</w:t>
            </w:r>
          </w:p>
        </w:tc>
        <w:tc>
          <w:tcPr>
            <w:tcW w:w="62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8A285F" w:rsidRPr="0071127E" w:rsidRDefault="008A285F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7451028844</w:t>
            </w:r>
          </w:p>
        </w:tc>
      </w:tr>
      <w:tr w:rsidR="008A285F" w:rsidRPr="0071127E" w:rsidTr="00AE5A77">
        <w:trPr>
          <w:tblCellSpacing w:w="7" w:type="dxa"/>
        </w:trPr>
        <w:tc>
          <w:tcPr>
            <w:tcW w:w="296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8A285F" w:rsidRPr="0071127E" w:rsidRDefault="008A285F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БИК</w:t>
            </w:r>
          </w:p>
        </w:tc>
        <w:tc>
          <w:tcPr>
            <w:tcW w:w="62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8A285F" w:rsidRPr="0071127E" w:rsidRDefault="008A285F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047501001</w:t>
            </w:r>
          </w:p>
        </w:tc>
      </w:tr>
      <w:tr w:rsidR="008A285F" w:rsidRPr="0071127E" w:rsidTr="00AE5A77">
        <w:trPr>
          <w:tblCellSpacing w:w="7" w:type="dxa"/>
        </w:trPr>
        <w:tc>
          <w:tcPr>
            <w:tcW w:w="296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8A285F" w:rsidRPr="0071127E" w:rsidRDefault="008A285F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КПП</w:t>
            </w:r>
          </w:p>
        </w:tc>
        <w:tc>
          <w:tcPr>
            <w:tcW w:w="62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8A285F" w:rsidRPr="0071127E" w:rsidRDefault="008A285F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745101001</w:t>
            </w:r>
          </w:p>
        </w:tc>
      </w:tr>
      <w:tr w:rsidR="008A285F" w:rsidRPr="0071127E" w:rsidTr="00AE5A77">
        <w:trPr>
          <w:tblCellSpacing w:w="7" w:type="dxa"/>
        </w:trPr>
        <w:tc>
          <w:tcPr>
            <w:tcW w:w="296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8A285F" w:rsidRPr="0071127E" w:rsidRDefault="008A285F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ОКТМО</w:t>
            </w:r>
          </w:p>
        </w:tc>
        <w:tc>
          <w:tcPr>
            <w:tcW w:w="62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8A285F" w:rsidRPr="0071127E" w:rsidRDefault="008A285F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75701370</w:t>
            </w:r>
          </w:p>
        </w:tc>
      </w:tr>
      <w:tr w:rsidR="008A285F" w:rsidRPr="0071127E" w:rsidTr="00AE5A77">
        <w:trPr>
          <w:tblCellSpacing w:w="7" w:type="dxa"/>
        </w:trPr>
        <w:tc>
          <w:tcPr>
            <w:tcW w:w="296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8A285F" w:rsidRPr="0071127E" w:rsidRDefault="008A285F" w:rsidP="00BB726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127E">
              <w:rPr>
                <w:rStyle w:val="a6"/>
                <w:sz w:val="28"/>
                <w:szCs w:val="28"/>
              </w:rPr>
              <w:t>р</w:t>
            </w:r>
            <w:proofErr w:type="spellEnd"/>
            <w:proofErr w:type="gramEnd"/>
            <w:r w:rsidRPr="0071127E">
              <w:rPr>
                <w:rStyle w:val="a6"/>
                <w:sz w:val="28"/>
                <w:szCs w:val="28"/>
              </w:rPr>
              <w:t>/с</w:t>
            </w:r>
          </w:p>
        </w:tc>
        <w:tc>
          <w:tcPr>
            <w:tcW w:w="62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8A285F" w:rsidRPr="0071127E" w:rsidRDefault="008A285F" w:rsidP="00BB726A">
            <w:pPr>
              <w:rPr>
                <w:sz w:val="28"/>
                <w:szCs w:val="28"/>
              </w:rPr>
            </w:pPr>
            <w:r w:rsidRPr="0071127E">
              <w:rPr>
                <w:rStyle w:val="a6"/>
                <w:sz w:val="28"/>
                <w:szCs w:val="28"/>
              </w:rPr>
              <w:t>40501810565772200002</w:t>
            </w:r>
          </w:p>
        </w:tc>
      </w:tr>
      <w:tr w:rsidR="008A285F" w:rsidRPr="0071127E" w:rsidTr="00AE5A77">
        <w:trPr>
          <w:tblCellSpacing w:w="7" w:type="dxa"/>
        </w:trPr>
        <w:tc>
          <w:tcPr>
            <w:tcW w:w="296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8A285F" w:rsidRPr="0071127E" w:rsidRDefault="008A285F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КБК</w:t>
            </w:r>
          </w:p>
        </w:tc>
        <w:tc>
          <w:tcPr>
            <w:tcW w:w="62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8A285F" w:rsidRPr="0071127E" w:rsidRDefault="008A285F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00000000000000000130</w:t>
            </w:r>
          </w:p>
        </w:tc>
      </w:tr>
      <w:tr w:rsidR="008A285F" w:rsidRPr="0071127E" w:rsidTr="00AE5A77">
        <w:trPr>
          <w:tblCellSpacing w:w="7" w:type="dxa"/>
        </w:trPr>
        <w:tc>
          <w:tcPr>
            <w:tcW w:w="296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8A285F" w:rsidRPr="0071127E" w:rsidRDefault="008A285F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ОКПО</w:t>
            </w:r>
          </w:p>
        </w:tc>
        <w:tc>
          <w:tcPr>
            <w:tcW w:w="62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8A285F" w:rsidRPr="0071127E" w:rsidRDefault="008A285F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02176192</w:t>
            </w:r>
          </w:p>
        </w:tc>
      </w:tr>
      <w:tr w:rsidR="008A285F" w:rsidRPr="00AE5A77" w:rsidTr="00AE5A77">
        <w:trPr>
          <w:tblCellSpacing w:w="7" w:type="dxa"/>
        </w:trPr>
        <w:tc>
          <w:tcPr>
            <w:tcW w:w="296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8A285F" w:rsidRPr="0071127E" w:rsidRDefault="008A285F" w:rsidP="00BB726A">
            <w:pPr>
              <w:rPr>
                <w:sz w:val="28"/>
                <w:szCs w:val="28"/>
              </w:rPr>
            </w:pPr>
            <w:r w:rsidRPr="0071127E">
              <w:rPr>
                <w:rStyle w:val="a6"/>
                <w:sz w:val="28"/>
                <w:szCs w:val="28"/>
              </w:rPr>
              <w:t>Наименование платежа:</w:t>
            </w:r>
          </w:p>
        </w:tc>
        <w:tc>
          <w:tcPr>
            <w:tcW w:w="62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8A285F" w:rsidRPr="00AE5A77" w:rsidRDefault="008A285F" w:rsidP="00BB726A">
            <w:pPr>
              <w:rPr>
                <w:sz w:val="28"/>
                <w:szCs w:val="28"/>
                <w:lang w:val="en-US"/>
              </w:rPr>
            </w:pPr>
            <w:proofErr w:type="spellStart"/>
            <w:r w:rsidRPr="0071127E">
              <w:rPr>
                <w:rStyle w:val="a6"/>
                <w:sz w:val="28"/>
                <w:szCs w:val="28"/>
              </w:rPr>
              <w:t>оргвзнос</w:t>
            </w:r>
            <w:proofErr w:type="spellEnd"/>
            <w:r w:rsidRPr="00AE5A77">
              <w:rPr>
                <w:rStyle w:val="a6"/>
                <w:sz w:val="28"/>
                <w:szCs w:val="28"/>
              </w:rPr>
              <w:t xml:space="preserve"> </w:t>
            </w:r>
            <w:r w:rsidRPr="0071127E">
              <w:rPr>
                <w:rStyle w:val="a6"/>
                <w:sz w:val="28"/>
                <w:szCs w:val="28"/>
              </w:rPr>
              <w:t>за</w:t>
            </w:r>
            <w:r w:rsidRPr="00AE5A77">
              <w:rPr>
                <w:rStyle w:val="a6"/>
                <w:sz w:val="28"/>
                <w:szCs w:val="28"/>
              </w:rPr>
              <w:t xml:space="preserve"> </w:t>
            </w:r>
            <w:r w:rsidRPr="0071127E">
              <w:rPr>
                <w:rStyle w:val="a6"/>
                <w:sz w:val="28"/>
                <w:szCs w:val="28"/>
              </w:rPr>
              <w:t>участие</w:t>
            </w:r>
            <w:r w:rsidRPr="00AE5A77">
              <w:rPr>
                <w:rStyle w:val="a6"/>
                <w:sz w:val="28"/>
                <w:szCs w:val="28"/>
              </w:rPr>
              <w:t xml:space="preserve"> </w:t>
            </w:r>
            <w:r w:rsidRPr="0071127E">
              <w:rPr>
                <w:rStyle w:val="a6"/>
                <w:sz w:val="28"/>
                <w:szCs w:val="28"/>
              </w:rPr>
              <w:t>в</w:t>
            </w:r>
            <w:r w:rsidRPr="00AE5A77">
              <w:rPr>
                <w:rStyle w:val="a6"/>
                <w:sz w:val="28"/>
                <w:szCs w:val="28"/>
              </w:rPr>
              <w:t xml:space="preserve"> </w:t>
            </w:r>
            <w:r w:rsidRPr="0071127E">
              <w:rPr>
                <w:rStyle w:val="a6"/>
                <w:sz w:val="28"/>
                <w:szCs w:val="28"/>
              </w:rPr>
              <w:t>конкурсе</w:t>
            </w:r>
            <w:r w:rsidRPr="00AE5A77">
              <w:rPr>
                <w:rStyle w:val="a6"/>
                <w:sz w:val="28"/>
                <w:szCs w:val="28"/>
              </w:rPr>
              <w:t xml:space="preserve"> </w:t>
            </w:r>
            <w:r w:rsidR="00AE5A77">
              <w:rPr>
                <w:rStyle w:val="a6"/>
                <w:sz w:val="28"/>
                <w:szCs w:val="28"/>
              </w:rPr>
              <w:t>им</w:t>
            </w:r>
            <w:r w:rsidR="00AE5A77" w:rsidRPr="00AE5A77">
              <w:rPr>
                <w:rStyle w:val="a6"/>
                <w:sz w:val="28"/>
                <w:szCs w:val="28"/>
              </w:rPr>
              <w:t>.</w:t>
            </w:r>
            <w:r w:rsidR="00AE5A77">
              <w:rPr>
                <w:rStyle w:val="a6"/>
                <w:sz w:val="28"/>
                <w:szCs w:val="28"/>
              </w:rPr>
              <w:t xml:space="preserve"> С</w:t>
            </w:r>
            <w:r w:rsidR="00AE5A77" w:rsidRPr="00AE5A77">
              <w:rPr>
                <w:rStyle w:val="a6"/>
                <w:sz w:val="28"/>
                <w:szCs w:val="28"/>
                <w:lang w:val="en-US"/>
              </w:rPr>
              <w:t xml:space="preserve">. </w:t>
            </w:r>
            <w:r w:rsidR="00AE5A77">
              <w:rPr>
                <w:rStyle w:val="a6"/>
                <w:sz w:val="28"/>
                <w:szCs w:val="28"/>
              </w:rPr>
              <w:t xml:space="preserve">Нейгауза </w:t>
            </w:r>
            <w:r w:rsidRPr="00AE5A77">
              <w:rPr>
                <w:rStyle w:val="a6"/>
                <w:sz w:val="28"/>
                <w:szCs w:val="28"/>
                <w:lang w:val="en-US"/>
              </w:rPr>
              <w:t>(</w:t>
            </w:r>
            <w:r w:rsidRPr="0071127E">
              <w:rPr>
                <w:rStyle w:val="a6"/>
                <w:sz w:val="28"/>
                <w:szCs w:val="28"/>
              </w:rPr>
              <w:t>включая</w:t>
            </w:r>
            <w:r w:rsidRPr="00AE5A77">
              <w:rPr>
                <w:rStyle w:val="a6"/>
                <w:sz w:val="28"/>
                <w:szCs w:val="28"/>
                <w:lang w:val="en-US"/>
              </w:rPr>
              <w:t xml:space="preserve"> </w:t>
            </w:r>
            <w:r w:rsidRPr="0071127E">
              <w:rPr>
                <w:rStyle w:val="a6"/>
                <w:sz w:val="28"/>
                <w:szCs w:val="28"/>
              </w:rPr>
              <w:t>НДС</w:t>
            </w:r>
            <w:r w:rsidRPr="00AE5A77">
              <w:rPr>
                <w:rStyle w:val="a6"/>
                <w:sz w:val="28"/>
                <w:szCs w:val="28"/>
                <w:lang w:val="en-US"/>
              </w:rPr>
              <w:t>)</w:t>
            </w:r>
          </w:p>
        </w:tc>
      </w:tr>
    </w:tbl>
    <w:p w:rsidR="008A285F" w:rsidRPr="00AE5A77" w:rsidRDefault="008A285F" w:rsidP="008A285F">
      <w:pPr>
        <w:ind w:firstLine="540"/>
        <w:rPr>
          <w:sz w:val="28"/>
          <w:szCs w:val="28"/>
          <w:lang w:val="en-US"/>
        </w:rPr>
      </w:pPr>
      <w:r w:rsidRPr="00AE5A77">
        <w:rPr>
          <w:sz w:val="28"/>
          <w:szCs w:val="28"/>
          <w:lang w:val="en-US"/>
        </w:rPr>
        <w:t xml:space="preserve"> </w:t>
      </w:r>
    </w:p>
    <w:p w:rsidR="008A285F" w:rsidRPr="00CB5926" w:rsidRDefault="008A285F" w:rsidP="008A285F">
      <w:pPr>
        <w:pStyle w:val="3"/>
        <w:spacing w:line="240" w:lineRule="auto"/>
        <w:ind w:left="0"/>
        <w:rPr>
          <w:lang w:val="en-US"/>
        </w:rPr>
      </w:pPr>
      <w:r w:rsidRPr="00CB5926">
        <w:rPr>
          <w:lang w:val="en-US"/>
        </w:rPr>
        <w:t xml:space="preserve">1.7. </w:t>
      </w:r>
      <w:r w:rsidRPr="00CB5926">
        <w:rPr>
          <w:szCs w:val="28"/>
          <w:lang w:val="en-US"/>
        </w:rPr>
        <w:t>Registration fee will not be paid back</w:t>
      </w:r>
      <w:bookmarkStart w:id="0" w:name="_GoBack"/>
      <w:bookmarkEnd w:id="0"/>
      <w:r w:rsidRPr="00CB5926">
        <w:rPr>
          <w:szCs w:val="28"/>
          <w:lang w:val="en-US"/>
        </w:rPr>
        <w:t>.</w:t>
      </w:r>
    </w:p>
    <w:p w:rsidR="008A285F" w:rsidRPr="001818E6" w:rsidRDefault="008A285F" w:rsidP="008A285F">
      <w:pPr>
        <w:pStyle w:val="3"/>
        <w:spacing w:line="240" w:lineRule="auto"/>
        <w:ind w:left="0"/>
        <w:rPr>
          <w:szCs w:val="28"/>
          <w:lang w:val="en-US"/>
        </w:rPr>
      </w:pPr>
      <w:r w:rsidRPr="00255EBF">
        <w:rPr>
          <w:lang w:val="en-US"/>
        </w:rPr>
        <w:t>1.</w:t>
      </w:r>
      <w:r>
        <w:rPr>
          <w:lang w:val="en-US"/>
        </w:rPr>
        <w:t>8</w:t>
      </w:r>
      <w:r w:rsidRPr="00255EBF">
        <w:rPr>
          <w:lang w:val="en-US"/>
        </w:rPr>
        <w:t>. Participants are admitted to perform in both nominations of the competition provided entrance fee is paid for each nomination mentioned by the participant in application form.</w:t>
      </w:r>
    </w:p>
    <w:p w:rsidR="008A285F" w:rsidRPr="00CB5926" w:rsidRDefault="008A285F" w:rsidP="008A285F">
      <w:pPr>
        <w:rPr>
          <w:sz w:val="28"/>
          <w:szCs w:val="28"/>
          <w:lang w:val="en-US"/>
        </w:rPr>
      </w:pPr>
      <w:r w:rsidRPr="00CB5926">
        <w:rPr>
          <w:sz w:val="28"/>
          <w:szCs w:val="28"/>
          <w:lang w:val="en-US"/>
        </w:rPr>
        <w:t xml:space="preserve">1.9. Every applicant will be informed with the invitation form of a Competition participant by the Organizational Committee. </w:t>
      </w:r>
    </w:p>
    <w:p w:rsidR="008A285F" w:rsidRPr="00CB5926" w:rsidRDefault="008A285F" w:rsidP="008A285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CB5926">
        <w:rPr>
          <w:sz w:val="28"/>
          <w:szCs w:val="28"/>
          <w:lang w:val="en-US"/>
        </w:rPr>
        <w:lastRenderedPageBreak/>
        <w:t>1.10. An applicant must inform the Organizational Committee in advance (not later than a week) about the date of his/her arrival, the exact time of arrival, flight/train number.</w:t>
      </w:r>
    </w:p>
    <w:p w:rsidR="008A285F" w:rsidRPr="00CB5926" w:rsidRDefault="008A285F" w:rsidP="008A285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CB5926">
        <w:rPr>
          <w:sz w:val="28"/>
          <w:szCs w:val="28"/>
          <w:lang w:val="en-US"/>
        </w:rPr>
        <w:t>1.11. To be admitted to drawing of lots of the Competition all applicants must present a Registration fee note to the Organizational Committee and a personal identity document.</w:t>
      </w:r>
    </w:p>
    <w:p w:rsidR="008A285F" w:rsidRPr="00BA709E" w:rsidRDefault="008A285F" w:rsidP="008A285F">
      <w:pPr>
        <w:jc w:val="both"/>
        <w:rPr>
          <w:sz w:val="28"/>
          <w:szCs w:val="28"/>
          <w:lang w:val="en-US"/>
        </w:rPr>
      </w:pPr>
    </w:p>
    <w:p w:rsidR="008A285F" w:rsidRDefault="008A285F" w:rsidP="008A285F">
      <w:pPr>
        <w:jc w:val="center"/>
        <w:rPr>
          <w:b/>
          <w:sz w:val="32"/>
          <w:szCs w:val="32"/>
          <w:lang w:val="en-US"/>
        </w:rPr>
      </w:pPr>
      <w:r w:rsidRPr="00BA709E">
        <w:rPr>
          <w:b/>
          <w:sz w:val="32"/>
          <w:szCs w:val="32"/>
          <w:lang w:val="en-US"/>
        </w:rPr>
        <w:t>II. Competition conditions</w:t>
      </w:r>
    </w:p>
    <w:p w:rsidR="008A285F" w:rsidRPr="00255EBF" w:rsidRDefault="008A285F" w:rsidP="008A285F">
      <w:pPr>
        <w:rPr>
          <w:sz w:val="28"/>
          <w:szCs w:val="28"/>
          <w:lang w:val="en-US"/>
        </w:rPr>
      </w:pPr>
      <w:r w:rsidRPr="00255EBF">
        <w:rPr>
          <w:sz w:val="28"/>
          <w:szCs w:val="28"/>
          <w:lang w:val="en-US"/>
        </w:rPr>
        <w:t>2.1. The Competition for:</w:t>
      </w:r>
    </w:p>
    <w:p w:rsidR="008A285F" w:rsidRPr="00255EBF" w:rsidRDefault="008A285F" w:rsidP="008A285F">
      <w:pPr>
        <w:rPr>
          <w:sz w:val="28"/>
          <w:szCs w:val="28"/>
          <w:lang w:val="en-US"/>
        </w:rPr>
      </w:pPr>
      <w:r w:rsidRPr="00255EBF">
        <w:rPr>
          <w:sz w:val="28"/>
          <w:szCs w:val="28"/>
          <w:lang w:val="en-US"/>
        </w:rPr>
        <w:tab/>
      </w:r>
      <w:r w:rsidRPr="00255EBF">
        <w:rPr>
          <w:b/>
          <w:sz w:val="28"/>
          <w:szCs w:val="28"/>
          <w:lang w:val="en-US"/>
        </w:rPr>
        <w:t xml:space="preserve">“Piano solo” </w:t>
      </w:r>
      <w:r w:rsidRPr="00255EBF">
        <w:rPr>
          <w:sz w:val="28"/>
          <w:szCs w:val="28"/>
          <w:lang w:val="en-US"/>
        </w:rPr>
        <w:t xml:space="preserve">nomination consists </w:t>
      </w:r>
      <w:proofErr w:type="gramStart"/>
      <w:r w:rsidRPr="00255EBF">
        <w:rPr>
          <w:sz w:val="28"/>
          <w:szCs w:val="28"/>
          <w:lang w:val="en-US"/>
        </w:rPr>
        <w:t>of  2</w:t>
      </w:r>
      <w:proofErr w:type="gramEnd"/>
      <w:r w:rsidRPr="00255EBF">
        <w:rPr>
          <w:sz w:val="28"/>
          <w:szCs w:val="28"/>
          <w:lang w:val="en-US"/>
        </w:rPr>
        <w:t xml:space="preserve"> rounds for Category A and of 3 rounds for Category B</w:t>
      </w:r>
    </w:p>
    <w:p w:rsidR="008A285F" w:rsidRPr="00255EBF" w:rsidRDefault="008A285F" w:rsidP="008A285F">
      <w:pPr>
        <w:rPr>
          <w:sz w:val="28"/>
          <w:szCs w:val="28"/>
          <w:lang w:val="en-US"/>
        </w:rPr>
      </w:pPr>
      <w:r w:rsidRPr="00255EBF">
        <w:rPr>
          <w:sz w:val="28"/>
          <w:szCs w:val="28"/>
          <w:lang w:val="en-US"/>
        </w:rPr>
        <w:tab/>
      </w:r>
      <w:r w:rsidRPr="00255EBF">
        <w:rPr>
          <w:b/>
          <w:sz w:val="28"/>
          <w:szCs w:val="28"/>
          <w:lang w:val="en-US"/>
        </w:rPr>
        <w:t>“Piano duo”</w:t>
      </w:r>
      <w:r w:rsidRPr="00255EBF">
        <w:rPr>
          <w:sz w:val="28"/>
          <w:szCs w:val="28"/>
          <w:lang w:val="en-US"/>
        </w:rPr>
        <w:t xml:space="preserve"> nomination consists of 1 round</w:t>
      </w:r>
    </w:p>
    <w:p w:rsidR="008A285F" w:rsidRDefault="008A285F" w:rsidP="008A285F">
      <w:pPr>
        <w:rPr>
          <w:sz w:val="28"/>
          <w:szCs w:val="28"/>
          <w:lang w:val="en-US"/>
        </w:rPr>
      </w:pPr>
      <w:r w:rsidRPr="00BA709E">
        <w:rPr>
          <w:sz w:val="28"/>
          <w:szCs w:val="28"/>
          <w:lang w:val="en-US"/>
        </w:rPr>
        <w:t xml:space="preserve">2.2. All stages will be open to the public. </w:t>
      </w:r>
    </w:p>
    <w:p w:rsidR="008A285F" w:rsidRPr="008A285F" w:rsidRDefault="008A285F" w:rsidP="008A285F">
      <w:pPr>
        <w:ind w:left="540" w:hanging="540"/>
        <w:rPr>
          <w:sz w:val="28"/>
          <w:szCs w:val="28"/>
          <w:lang w:val="en-US"/>
        </w:rPr>
      </w:pPr>
      <w:r w:rsidRPr="00255EBF">
        <w:rPr>
          <w:sz w:val="28"/>
          <w:szCs w:val="28"/>
          <w:lang w:val="en-US"/>
        </w:rPr>
        <w:t xml:space="preserve">2.3. All Competition program compositions of the </w:t>
      </w:r>
      <w:r w:rsidRPr="00255EBF">
        <w:rPr>
          <w:b/>
          <w:sz w:val="28"/>
          <w:szCs w:val="28"/>
          <w:lang w:val="en-US"/>
        </w:rPr>
        <w:t>“Piano solo”</w:t>
      </w:r>
      <w:r w:rsidRPr="00255EBF">
        <w:rPr>
          <w:sz w:val="28"/>
          <w:szCs w:val="28"/>
          <w:lang w:val="en-US"/>
        </w:rPr>
        <w:t xml:space="preserve"> nomination must be played from memory. </w:t>
      </w:r>
    </w:p>
    <w:p w:rsidR="008A285F" w:rsidRPr="00995794" w:rsidRDefault="008A285F" w:rsidP="008A285F">
      <w:pPr>
        <w:ind w:left="540"/>
        <w:rPr>
          <w:sz w:val="28"/>
          <w:szCs w:val="28"/>
          <w:lang w:val="en-US"/>
        </w:rPr>
      </w:pPr>
      <w:r w:rsidRPr="00255EBF">
        <w:rPr>
          <w:sz w:val="28"/>
          <w:szCs w:val="28"/>
          <w:lang w:val="en-US"/>
        </w:rPr>
        <w:t xml:space="preserve">Competition program of the </w:t>
      </w:r>
      <w:r w:rsidRPr="00255EBF">
        <w:rPr>
          <w:b/>
          <w:sz w:val="28"/>
          <w:szCs w:val="28"/>
          <w:lang w:val="en-US"/>
        </w:rPr>
        <w:t xml:space="preserve">“Piano duo” </w:t>
      </w:r>
      <w:r w:rsidRPr="00255EBF">
        <w:rPr>
          <w:sz w:val="28"/>
          <w:szCs w:val="28"/>
          <w:lang w:val="en-US"/>
        </w:rPr>
        <w:t>nomination may be played from music.</w:t>
      </w:r>
      <w:r w:rsidRPr="00995794">
        <w:rPr>
          <w:sz w:val="28"/>
          <w:szCs w:val="28"/>
          <w:lang w:val="en-US"/>
        </w:rPr>
        <w:t xml:space="preserve"> </w:t>
      </w:r>
    </w:p>
    <w:p w:rsidR="008A285F" w:rsidRPr="00BA709E" w:rsidRDefault="008A285F" w:rsidP="008A285F">
      <w:pPr>
        <w:rPr>
          <w:sz w:val="28"/>
          <w:szCs w:val="28"/>
          <w:lang w:val="en-US"/>
        </w:rPr>
      </w:pPr>
      <w:r w:rsidRPr="00BA709E">
        <w:rPr>
          <w:sz w:val="28"/>
          <w:szCs w:val="28"/>
          <w:lang w:val="en-US"/>
        </w:rPr>
        <w:t>2.4. The playing order of competitors will be defined according to the drawing and will stand definitively until the end of the Competition.</w:t>
      </w:r>
    </w:p>
    <w:p w:rsidR="008A285F" w:rsidRPr="00BA709E" w:rsidRDefault="008A285F" w:rsidP="008A285F">
      <w:pPr>
        <w:rPr>
          <w:sz w:val="28"/>
          <w:szCs w:val="28"/>
          <w:lang w:val="en-US"/>
        </w:rPr>
      </w:pPr>
      <w:r w:rsidRPr="00BA709E">
        <w:rPr>
          <w:sz w:val="28"/>
          <w:szCs w:val="28"/>
          <w:lang w:val="en-US"/>
        </w:rPr>
        <w:t xml:space="preserve">2.5. Competitors are provided an acoustic rehearsal in the concert hall. </w:t>
      </w:r>
    </w:p>
    <w:p w:rsidR="008A285F" w:rsidRPr="00BA709E" w:rsidRDefault="008A285F" w:rsidP="008A285F">
      <w:pPr>
        <w:rPr>
          <w:sz w:val="28"/>
          <w:szCs w:val="28"/>
          <w:lang w:val="en-US"/>
        </w:rPr>
      </w:pPr>
      <w:r w:rsidRPr="00BA709E">
        <w:rPr>
          <w:sz w:val="28"/>
          <w:szCs w:val="28"/>
          <w:lang w:val="en-US"/>
        </w:rPr>
        <w:t xml:space="preserve">2.6. The laureates are obliged to perform in the gala concert and others planned by the Organizing Committee. </w:t>
      </w:r>
    </w:p>
    <w:p w:rsidR="008A285F" w:rsidRPr="00BA709E" w:rsidRDefault="008A285F" w:rsidP="008A285F">
      <w:pPr>
        <w:rPr>
          <w:sz w:val="28"/>
          <w:szCs w:val="28"/>
          <w:lang w:val="en-US"/>
        </w:rPr>
      </w:pPr>
      <w:r w:rsidRPr="00BA709E">
        <w:rPr>
          <w:sz w:val="28"/>
          <w:szCs w:val="28"/>
          <w:lang w:val="en-US"/>
        </w:rPr>
        <w:t>2.7. The Organizing Committee has all the rights to the following: recording; public play-back and performance; broadcasting by wired or wireless sound or vision by terrestrial or satellite stations.</w:t>
      </w:r>
    </w:p>
    <w:p w:rsidR="008A285F" w:rsidRPr="00BA709E" w:rsidRDefault="008A285F" w:rsidP="008A285F">
      <w:pPr>
        <w:jc w:val="both"/>
        <w:rPr>
          <w:sz w:val="28"/>
          <w:szCs w:val="28"/>
          <w:lang w:val="en-US"/>
        </w:rPr>
      </w:pPr>
    </w:p>
    <w:p w:rsidR="008A285F" w:rsidRPr="00BA709E" w:rsidRDefault="008A285F" w:rsidP="008A285F">
      <w:pPr>
        <w:jc w:val="center"/>
        <w:rPr>
          <w:b/>
          <w:sz w:val="32"/>
          <w:szCs w:val="32"/>
          <w:lang w:val="en-US"/>
        </w:rPr>
      </w:pPr>
      <w:r w:rsidRPr="00BA709E">
        <w:rPr>
          <w:b/>
          <w:sz w:val="32"/>
          <w:szCs w:val="32"/>
          <w:lang w:val="en-US"/>
        </w:rPr>
        <w:t>III. Financial conditions</w:t>
      </w:r>
    </w:p>
    <w:p w:rsidR="008A285F" w:rsidRPr="00BA709E" w:rsidRDefault="008A285F" w:rsidP="008A285F">
      <w:pPr>
        <w:rPr>
          <w:sz w:val="28"/>
          <w:szCs w:val="28"/>
          <w:lang w:val="en-US"/>
        </w:rPr>
      </w:pPr>
      <w:r w:rsidRPr="00BA709E">
        <w:rPr>
          <w:sz w:val="28"/>
          <w:szCs w:val="28"/>
          <w:lang w:val="en-US"/>
        </w:rPr>
        <w:t>3.1. Competitors are responsible for travel, accommodation and food expenses.</w:t>
      </w:r>
    </w:p>
    <w:p w:rsidR="008A285F" w:rsidRPr="00BA709E" w:rsidRDefault="008A285F" w:rsidP="008A285F">
      <w:pPr>
        <w:rPr>
          <w:sz w:val="28"/>
          <w:szCs w:val="28"/>
          <w:lang w:val="en-US"/>
        </w:rPr>
      </w:pPr>
      <w:r w:rsidRPr="00BA709E">
        <w:rPr>
          <w:sz w:val="28"/>
          <w:szCs w:val="28"/>
          <w:lang w:val="en-US"/>
        </w:rPr>
        <w:t>3.2. Participants from abroad issue passports and visas. The Organizing Committee sends the official invitation, after receiving it a competitor appeals to the Russian Embassy in the country.</w:t>
      </w:r>
    </w:p>
    <w:p w:rsidR="008A285F" w:rsidRPr="00BA709E" w:rsidRDefault="008A285F" w:rsidP="008A285F">
      <w:pPr>
        <w:rPr>
          <w:sz w:val="28"/>
          <w:szCs w:val="28"/>
          <w:lang w:val="en-US"/>
        </w:rPr>
      </w:pPr>
      <w:r w:rsidRPr="00BA709E">
        <w:rPr>
          <w:sz w:val="28"/>
          <w:szCs w:val="28"/>
          <w:lang w:val="en-US"/>
        </w:rPr>
        <w:t xml:space="preserve">3.3. Attached to participants' notification there will be a list of proposed hotels and the </w:t>
      </w:r>
      <w:r>
        <w:rPr>
          <w:sz w:val="28"/>
          <w:szCs w:val="28"/>
          <w:lang w:val="en-US"/>
        </w:rPr>
        <w:t>Institute</w:t>
      </w:r>
      <w:r w:rsidRPr="00BA709E">
        <w:rPr>
          <w:sz w:val="28"/>
          <w:szCs w:val="28"/>
          <w:lang w:val="en-US"/>
        </w:rPr>
        <w:t>’s student hostel that can be reserved.</w:t>
      </w:r>
    </w:p>
    <w:p w:rsidR="00DE15AF" w:rsidRPr="008A285F" w:rsidRDefault="00DE15AF">
      <w:pPr>
        <w:rPr>
          <w:lang w:val="en-US"/>
        </w:rPr>
      </w:pPr>
    </w:p>
    <w:sectPr w:rsidR="00DE15AF" w:rsidRPr="008A285F" w:rsidSect="00DE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285F"/>
    <w:rsid w:val="00256376"/>
    <w:rsid w:val="0037350F"/>
    <w:rsid w:val="006D4AE5"/>
    <w:rsid w:val="008A285F"/>
    <w:rsid w:val="00AE5A77"/>
    <w:rsid w:val="00DE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285F"/>
    <w:pPr>
      <w:autoSpaceDE w:val="0"/>
      <w:autoSpaceDN w:val="0"/>
      <w:adjustRightInd w:val="0"/>
      <w:spacing w:line="300" w:lineRule="auto"/>
      <w:ind w:firstLine="5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A28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A285F"/>
    <w:pPr>
      <w:autoSpaceDE w:val="0"/>
      <w:autoSpaceDN w:val="0"/>
      <w:adjustRightInd w:val="0"/>
      <w:spacing w:line="300" w:lineRule="auto"/>
      <w:ind w:left="54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A28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8A285F"/>
    <w:rPr>
      <w:color w:val="0000FF"/>
      <w:u w:val="single"/>
    </w:rPr>
  </w:style>
  <w:style w:type="character" w:customStyle="1" w:styleId="refresult1">
    <w:name w:val="ref_result1"/>
    <w:basedOn w:val="a0"/>
    <w:rsid w:val="008A285F"/>
    <w:rPr>
      <w:b w:val="0"/>
      <w:bCs w:val="0"/>
      <w:sz w:val="18"/>
      <w:szCs w:val="18"/>
    </w:rPr>
  </w:style>
  <w:style w:type="character" w:styleId="a6">
    <w:name w:val="Strong"/>
    <w:basedOn w:val="a0"/>
    <w:uiPriority w:val="22"/>
    <w:qFormat/>
    <w:rsid w:val="008A28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gik.ru/neuhaus" TargetMode="External"/><Relationship Id="rId4" Type="http://schemas.openxmlformats.org/officeDocument/2006/relationships/hyperlink" Target="mailto:neuhaus@chga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ivashkovmv</dc:creator>
  <cp:lastModifiedBy>ivashkovmv</cp:lastModifiedBy>
  <cp:revision>3</cp:revision>
  <dcterms:created xsi:type="dcterms:W3CDTF">2020-01-29T04:54:00Z</dcterms:created>
  <dcterms:modified xsi:type="dcterms:W3CDTF">2020-09-03T08:25:00Z</dcterms:modified>
</cp:coreProperties>
</file>